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-481965</wp:posOffset>
                </wp:positionV>
                <wp:extent cx="1104900" cy="1104900"/>
                <wp:effectExtent l="0" t="0" r="0" b="0"/>
                <wp:wrapNone/>
                <wp:docPr id="1" name="Рисунок 2" descr="Институт естественных наук и фарма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Институт естественных наук и фармации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431.55pt;mso-position-horizontal:absolute;mso-position-vertical-relative:text;margin-top:-37.95pt;mso-position-vertical:absolute;width:87.00pt;height:87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</wp:posOffset>
                </wp:positionH>
                <wp:positionV relativeFrom="paragraph">
                  <wp:posOffset>-542925</wp:posOffset>
                </wp:positionV>
                <wp:extent cx="1552575" cy="1219200"/>
                <wp:effectExtent l="0" t="0" r="0" b="0"/>
                <wp:wrapNone/>
                <wp:docPr id="2" name="Рисунок 1" descr="C:\Users\Katerina\Downloads\ge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Katerina\Downloads\gerb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525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page;margin-left:15.30pt;mso-position-horizontal:absolute;mso-position-vertical-relative:text;margin-top:-42.75pt;mso-position-vertical:absolute;width:122.25pt;height:96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МАРИЙСКИЙ ГОСУДАРСТВЕННЫЙ УНИВЕРСИТЕТ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ИНСТИТУТ ЕСТЕСТВЕННЫХ НАУК И ФАРМАЦИИ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/>
          <w:cap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aps/>
          <w:color w:val="002060"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caps/>
          <w:color w:val="00206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aps/>
          <w:color w:val="002060"/>
          <w:sz w:val="24"/>
          <w:szCs w:val="24"/>
        </w:rPr>
        <w:t xml:space="preserve">Всероссийская</w:t>
      </w:r>
      <w:r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 НАУЧНАЯ КОНФЕРЕНЦИЯ</w:t>
      </w:r>
      <w:r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СОВРЕМЕННЫЕ ПРОБЛЕМЫ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ЕСТЕСТВЕННЫХ НАУК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ФАРМАЦИИ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-2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мая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года,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Йошкар-Ола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Марийский государственный университет приглашает преподавателей, сотрудников, аспирантов и студентов образовательных учреждений, научных центров и предприятий принять участие в работе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научной конференции «Современные проблемы </w:t>
      </w:r>
      <w:r>
        <w:rPr>
          <w:rFonts w:ascii="Times New Roman" w:hAnsi="Times New Roman" w:cs="Times New Roman"/>
          <w:sz w:val="24"/>
          <w:szCs w:val="24"/>
        </w:rPr>
        <w:t xml:space="preserve">естественных наук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фармации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конференции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обмен информацией о результатах фундаментальных и прикладных исследований в области биологии, </w:t>
      </w:r>
      <w:r>
        <w:rPr>
          <w:rFonts w:ascii="Times New Roman" w:hAnsi="Times New Roman" w:cs="Times New Roman"/>
          <w:sz w:val="24"/>
          <w:szCs w:val="24"/>
        </w:rPr>
        <w:t xml:space="preserve">химии, экологии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фармации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 </w:t>
      </w:r>
      <w:r>
        <w:rPr>
          <w:rFonts w:ascii="Times New Roman" w:hAnsi="Times New Roman" w:cs="Times New Roman"/>
          <w:sz w:val="24"/>
          <w:szCs w:val="24"/>
        </w:rPr>
        <w:t xml:space="preserve">Биология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Химия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Экология и природопользование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Фармация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КОНФЕРЕНЦИИ ВКЛЮЧАЕТ: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4"/>
        <w:numPr>
          <w:ilvl w:val="0"/>
          <w:numId w:val="1"/>
        </w:numPr>
        <w:ind w:left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Пленарные доклады (до 30 мин.)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numPr>
          <w:ilvl w:val="0"/>
          <w:numId w:val="1"/>
        </w:numPr>
        <w:ind w:left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Устные сообщения (до 10 мин.)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РАБОЧИЙ ЯЗЫК КОНФЕРЕНЦИИ: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КЛЮЧЕВЫЕ ДАТЫ: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апреля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окончание регистрации участников и предоставления материалов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20-23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sz w:val="24"/>
          <w:szCs w:val="24"/>
        </w:rPr>
        <w:t xml:space="preserve">проведение конференции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КОНТАКТЫ: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>
        <w:fldChar w:fldCharType="begin"/>
      </w:r>
      <w:r>
        <w:rPr>
          <w:lang w:val="en-US"/>
        </w:rPr>
        <w:instrText xml:space="preserve"> HYPERLINK "mailto:marsu-conference-ienif@mail.ru" </w:instrText>
      </w:r>
      <w:r>
        <w:fldChar w:fldCharType="separate"/>
      </w:r>
      <w:r>
        <w:rPr>
          <w:rStyle w:val="623"/>
          <w:rFonts w:ascii="Times New Roman" w:hAnsi="Times New Roman" w:cs="Times New Roman"/>
          <w:bCs/>
          <w:sz w:val="24"/>
          <w:szCs w:val="24"/>
          <w:lang w:val="en-US"/>
        </w:rPr>
        <w:t xml:space="preserve">marsu-conference-ienif@mail.ru</w:t>
      </w:r>
      <w:r>
        <w:rPr>
          <w:rStyle w:val="623"/>
          <w:rFonts w:ascii="Times New Roman" w:hAnsi="Times New Roman" w:cs="Times New Roman"/>
          <w:bCs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Секретарь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Николаева Юлия Михайловна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bCs/>
          <w:sz w:val="24"/>
          <w:szCs w:val="24"/>
        </w:rPr>
        <w:t xml:space="preserve">89371137075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Оргвзнос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рганизация проживания не предусмотрен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Плата за публикацию не предусмотрена.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ННАЯ ФОРМА УЧАСТНИКА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научной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«Современные проблемы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естественных наук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фармации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Количество авторов статьи не более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От 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дного автора не более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статей.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 Имя Отчество участника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следует указать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ФИО только докладчика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Полное название организации: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Почтовый адрес организации с указанием индекса: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 этот адрес будет рассылка из оргкомитета на имя докладчика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доклада: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Название доклада: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Секция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указать название секции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участия (очная или заочная):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доклада (устный или стендовый для очных участников):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  <w:t xml:space="preserve">Правила оформления Материалов</w:t>
      </w: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страницы 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поля: верхнее 2</w:t>
      </w:r>
      <w:r>
        <w:rPr>
          <w:rFonts w:ascii="Times New Roman" w:hAnsi="Times New Roman" w:cs="Times New Roman"/>
          <w:sz w:val="24"/>
          <w:szCs w:val="24"/>
        </w:rPr>
        <w:t xml:space="preserve">.5</w:t>
      </w:r>
      <w:r>
        <w:rPr>
          <w:rFonts w:ascii="Times New Roman" w:hAnsi="Times New Roman" w:cs="Times New Roman"/>
          <w:sz w:val="24"/>
          <w:szCs w:val="24"/>
        </w:rPr>
        <w:t xml:space="preserve"> см, нижнее </w:t>
      </w:r>
      <w:r>
        <w:rPr>
          <w:rFonts w:ascii="Times New Roman" w:hAnsi="Times New Roman" w:cs="Times New Roman"/>
          <w:sz w:val="24"/>
          <w:szCs w:val="24"/>
        </w:rPr>
        <w:t xml:space="preserve">2.3 см, левое и правое 2 см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Шрифт </w:t>
      </w:r>
      <w:r>
        <w:rPr>
          <w:rFonts w:ascii="Times New Roman" w:hAnsi="Times New Roman" w:cs="Times New Roman"/>
          <w:b/>
          <w:sz w:val="24"/>
          <w:szCs w:val="24"/>
        </w:rPr>
        <w:t xml:space="preserve">Times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New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Roman</w:t>
      </w:r>
      <w:r>
        <w:rPr>
          <w:rFonts w:ascii="Times New Roman" w:hAnsi="Times New Roman" w:cs="Times New Roman"/>
          <w:sz w:val="24"/>
          <w:szCs w:val="24"/>
        </w:rPr>
        <w:t xml:space="preserve">, кегль </w:t>
      </w:r>
      <w:r>
        <w:rPr>
          <w:rFonts w:ascii="Times New Roman" w:hAnsi="Times New Roman" w:cs="Times New Roman"/>
          <w:b/>
          <w:sz w:val="24"/>
          <w:szCs w:val="24"/>
        </w:rPr>
        <w:t xml:space="preserve">10.5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пт</w:t>
      </w:r>
      <w:r>
        <w:rPr>
          <w:rFonts w:ascii="Times New Roman" w:hAnsi="Times New Roman" w:cs="Times New Roman"/>
          <w:sz w:val="24"/>
          <w:szCs w:val="24"/>
        </w:rPr>
        <w:t xml:space="preserve">, межстрочный интервал </w:t>
      </w:r>
      <w:r>
        <w:rPr>
          <w:rFonts w:ascii="Times New Roman" w:hAnsi="Times New Roman" w:cs="Times New Roman"/>
          <w:b/>
          <w:sz w:val="24"/>
          <w:szCs w:val="24"/>
        </w:rPr>
        <w:t xml:space="preserve">1.0</w:t>
      </w:r>
      <w:r>
        <w:rPr>
          <w:rFonts w:ascii="Times New Roman" w:hAnsi="Times New Roman" w:cs="Times New Roman"/>
          <w:sz w:val="24"/>
          <w:szCs w:val="24"/>
        </w:rPr>
        <w:t xml:space="preserve">, абзацный отступ </w:t>
      </w:r>
      <w:r>
        <w:rPr>
          <w:rFonts w:ascii="Times New Roman" w:hAnsi="Times New Roman" w:cs="Times New Roman"/>
          <w:b/>
          <w:sz w:val="24"/>
          <w:szCs w:val="24"/>
        </w:rPr>
        <w:t xml:space="preserve">1 см</w:t>
      </w:r>
      <w:r>
        <w:rPr>
          <w:rFonts w:ascii="Times New Roman" w:hAnsi="Times New Roman" w:cs="Times New Roman"/>
          <w:sz w:val="24"/>
          <w:szCs w:val="24"/>
        </w:rPr>
        <w:t xml:space="preserve">, выравнивание по ширине.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Заголовок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 (прописными буквами, полужирный шрифт)</w:t>
      </w:r>
      <w:r>
        <w:rPr>
          <w:rFonts w:ascii="Times New Roman" w:hAnsi="Times New Roman" w:cs="Times New Roman"/>
          <w:sz w:val="24"/>
          <w:szCs w:val="24"/>
        </w:rPr>
        <w:t xml:space="preserve">, кегль </w:t>
      </w:r>
      <w:r>
        <w:rPr>
          <w:rFonts w:ascii="Times New Roman" w:hAnsi="Times New Roman" w:cs="Times New Roman"/>
          <w:b/>
          <w:sz w:val="24"/>
          <w:szCs w:val="24"/>
        </w:rPr>
        <w:t xml:space="preserve">10.5</w:t>
      </w:r>
      <w:r>
        <w:rPr>
          <w:rFonts w:ascii="Times New Roman" w:hAnsi="Times New Roman" w:cs="Times New Roman"/>
          <w:sz w:val="24"/>
          <w:szCs w:val="24"/>
        </w:rPr>
        <w:t xml:space="preserve"> пт.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</w:t>
      </w:r>
      <w:r>
        <w:rPr>
          <w:rFonts w:ascii="Times New Roman" w:hAnsi="Times New Roman" w:cs="Times New Roman"/>
          <w:sz w:val="24"/>
          <w:szCs w:val="24"/>
        </w:rPr>
        <w:t xml:space="preserve">р(</w:t>
      </w:r>
      <w:r>
        <w:rPr>
          <w:rFonts w:ascii="Times New Roman" w:hAnsi="Times New Roman" w:cs="Times New Roman"/>
          <w:sz w:val="24"/>
          <w:szCs w:val="24"/>
        </w:rPr>
        <w:t xml:space="preserve">ы) – фамилия </w:t>
      </w:r>
      <w:r>
        <w:rPr>
          <w:rFonts w:ascii="Times New Roman" w:hAnsi="Times New Roman" w:cs="Times New Roman"/>
          <w:sz w:val="24"/>
          <w:szCs w:val="24"/>
        </w:rPr>
        <w:t xml:space="preserve">и инициалы </w:t>
      </w:r>
      <w:r>
        <w:rPr>
          <w:rFonts w:ascii="Times New Roman" w:hAnsi="Times New Roman" w:cs="Times New Roman"/>
          <w:sz w:val="24"/>
          <w:szCs w:val="24"/>
        </w:rPr>
        <w:t xml:space="preserve">(строчн</w:t>
      </w:r>
      <w:r>
        <w:rPr>
          <w:rFonts w:ascii="Times New Roman" w:hAnsi="Times New Roman" w:cs="Times New Roman"/>
          <w:sz w:val="24"/>
          <w:szCs w:val="24"/>
        </w:rPr>
        <w:t xml:space="preserve">ыми буквами, полужирный курсив),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кегль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пт.</w:t>
      </w:r>
      <w:r>
        <w:rPr>
          <w:rFonts w:ascii="Times New Roman" w:hAnsi="Times New Roman" w:cs="Times New Roman"/>
          <w:sz w:val="24"/>
          <w:szCs w:val="24"/>
        </w:rPr>
        <w:t xml:space="preserve"> Фамилия докладчика выделена подчеркиванием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</w:t>
      </w:r>
      <w:r>
        <w:rPr>
          <w:rFonts w:ascii="Times New Roman" w:hAnsi="Times New Roman" w:cs="Times New Roman"/>
          <w:sz w:val="24"/>
          <w:szCs w:val="24"/>
        </w:rPr>
        <w:t xml:space="preserve">город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кегль </w:t>
      </w:r>
      <w:r>
        <w:rPr>
          <w:rFonts w:ascii="Times New Roman" w:hAnsi="Times New Roman" w:cs="Times New Roman"/>
          <w:b/>
          <w:sz w:val="24"/>
          <w:szCs w:val="24"/>
        </w:rPr>
        <w:t xml:space="preserve">8.5</w:t>
      </w:r>
      <w:r>
        <w:rPr>
          <w:rFonts w:ascii="Times New Roman" w:hAnsi="Times New Roman" w:cs="Times New Roman"/>
          <w:sz w:val="24"/>
          <w:szCs w:val="24"/>
        </w:rPr>
        <w:t xml:space="preserve"> пт.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</w:t>
      </w:r>
      <w:r>
        <w:rPr>
          <w:rFonts w:ascii="Times New Roman" w:hAnsi="Times New Roman" w:cs="Times New Roman"/>
          <w:sz w:val="24"/>
          <w:szCs w:val="24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 (курсив)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кегль </w:t>
      </w:r>
      <w:r>
        <w:rPr>
          <w:rFonts w:ascii="Times New Roman" w:hAnsi="Times New Roman" w:cs="Times New Roman"/>
          <w:b/>
          <w:sz w:val="24"/>
          <w:szCs w:val="24"/>
        </w:rPr>
        <w:t xml:space="preserve">8.5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240"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отступа в одну строку текст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>
        <w:rPr>
          <w:rFonts w:ascii="Times New Roman" w:hAnsi="Times New Roman" w:cs="Times New Roman"/>
          <w:b/>
          <w:sz w:val="24"/>
          <w:szCs w:val="24"/>
        </w:rPr>
        <w:t xml:space="preserve"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включая названия, авторов, органи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зацию и контактную информацию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текст объемом менее 3 страниц не принимается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Схемы реакций должны быть набраны в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ChemDraw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Рисунки в разрешении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300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dpi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Шрифт в </w:t>
      </w:r>
      <w:r>
        <w:rPr>
          <w:rFonts w:ascii="Times New Roman" w:hAnsi="Times New Roman" w:cs="Times New Roman"/>
          <w:sz w:val="24"/>
          <w:szCs w:val="24"/>
        </w:rPr>
        <w:t xml:space="preserve">рисунк</w:t>
      </w:r>
      <w:r>
        <w:rPr>
          <w:rFonts w:ascii="Times New Roman" w:hAnsi="Times New Roman" w:cs="Times New Roman"/>
          <w:sz w:val="24"/>
          <w:szCs w:val="24"/>
        </w:rPr>
        <w:t xml:space="preserve">ах и таблицах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8.5</w:t>
      </w:r>
      <w:r>
        <w:rPr>
          <w:rFonts w:ascii="Times New Roman" w:hAnsi="Times New Roman" w:cs="Times New Roman"/>
          <w:sz w:val="24"/>
          <w:szCs w:val="24"/>
        </w:rPr>
        <w:t xml:space="preserve"> пт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Принимаются файлы </w:t>
      </w:r>
      <w:r>
        <w:rPr>
          <w:rFonts w:ascii="Times New Roman" w:hAnsi="Times New Roman" w:cs="Times New Roman"/>
          <w:sz w:val="24"/>
          <w:szCs w:val="24"/>
        </w:rPr>
        <w:t xml:space="preserve">в формате *.</w:t>
      </w:r>
      <w:r>
        <w:rPr>
          <w:rFonts w:ascii="Times New Roman" w:hAnsi="Times New Roman" w:cs="Times New Roman"/>
          <w:sz w:val="24"/>
          <w:szCs w:val="24"/>
        </w:rPr>
        <w:t xml:space="preserve">doc</w:t>
      </w:r>
      <w:r>
        <w:rPr>
          <w:rFonts w:ascii="Times New Roman" w:hAnsi="Times New Roman" w:cs="Times New Roman"/>
          <w:sz w:val="24"/>
          <w:szCs w:val="24"/>
        </w:rPr>
        <w:t xml:space="preserve">, *.</w:t>
      </w:r>
      <w:r>
        <w:rPr>
          <w:rFonts w:ascii="Times New Roman" w:hAnsi="Times New Roman" w:cs="Times New Roman"/>
          <w:sz w:val="24"/>
          <w:szCs w:val="24"/>
        </w:rPr>
        <w:t xml:space="preserve">docx</w:t>
      </w:r>
      <w:r>
        <w:rPr>
          <w:rFonts w:ascii="Times New Roman" w:hAnsi="Times New Roman" w:cs="Times New Roman"/>
          <w:sz w:val="24"/>
          <w:szCs w:val="24"/>
        </w:rPr>
        <w:t xml:space="preserve">, *.</w:t>
      </w:r>
      <w:r>
        <w:rPr>
          <w:rFonts w:ascii="Times New Roman" w:hAnsi="Times New Roman" w:cs="Times New Roman"/>
          <w:sz w:val="24"/>
          <w:szCs w:val="24"/>
        </w:rPr>
        <w:t xml:space="preserve">rtf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В тексте работы ссылки на литературу приводятся в квадратных скобках арабскими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цифрами [1], [1,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2,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3-8].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Единицы измерения пишутся по возможности кириллицей через пробел, например,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ммоль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/л, 150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мкМ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, 2000 г, 2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%. Латинские названия (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курсивом, авторский знак курсивом не выделяется,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N.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crassa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L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), а также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de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novo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in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vivo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и т.д. пишутся курсивом. Рекомендуется использовать «кавычки», но не “кавычки”.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Ссылки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на литературу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должны быть оформлены в соответствии с правилами составления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затекстовых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ссылок </w:t>
      </w:r>
      <w:r>
        <w:rPr>
          <w:rFonts w:ascii="Times New Roman" w:hAnsi="Times New Roman" w:eastAsia="Times New Roman"/>
          <w:iCs/>
          <w:color w:val="000000" w:themeColor="text1"/>
          <w:sz w:val="24"/>
          <w:szCs w:val="24"/>
          <w:lang w:eastAsia="ru-RU"/>
        </w:rPr>
        <w:t xml:space="preserve">по ГОСТ 7.0.5–2008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в порядке цитирования в тексте работы, например: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1. 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Papa S., 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Lorusso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 M., Di Paola M. Cooperativity and flexibility of the 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protonmotive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 activity of mitochondrial respiratory chain // 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Biochim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Biophys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Acta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. 2006. V</w:t>
      </w:r>
      <w:r>
        <w:rPr>
          <w:rFonts w:ascii="Times New Roman" w:hAnsi="Times New Roman" w:eastAsia="Times New Roman"/>
          <w:iCs/>
          <w:sz w:val="24"/>
          <w:szCs w:val="24"/>
          <w:lang w:val="en-US" w:eastAsia="ru-RU"/>
        </w:rPr>
        <w:t xml:space="preserve">ol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. 1757. P. 428–436.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Жебелков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А. И.,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Фосфатазова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А. В. Об особенностях регуляции ПКА в нейронах // Мозги и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их клетки. 2007. № 1. С. 80–86.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. Жирков Б. И.,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Углеводкин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 А. О. Рецепторы и сигналы. М., 2007. С. 256–300.</w:t>
      </w: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Сборник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материалов конференции буд</w:t>
      </w:r>
      <w:r>
        <w:rPr>
          <w:rFonts w:ascii="Times New Roman" w:hAnsi="Times New Roman" w:cs="Times New Roman"/>
          <w:b/>
          <w:sz w:val="24"/>
          <w:szCs w:val="24"/>
        </w:rPr>
        <w:t xml:space="preserve">ет опубликован в электронном виде и включен</w:t>
      </w:r>
      <w:r>
        <w:rPr>
          <w:rFonts w:ascii="Times New Roman" w:hAnsi="Times New Roman" w:cs="Times New Roman"/>
          <w:b/>
          <w:sz w:val="24"/>
          <w:szCs w:val="24"/>
        </w:rPr>
        <w:t xml:space="preserve"> в базу данных «Российский индекс научного цитирования» (РИНЦ).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 должны быть присланы по электронной почте вложенным файлом в формате *.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doc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*.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docx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*.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rtf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адресу </w:t>
      </w:r>
      <w:hyperlink r:id="rId11" w:tooltip="mailto:marsu-conference-ienif@mail.ru" w:history="1">
        <w:r>
          <w:rPr>
            <w:rStyle w:val="623"/>
            <w:rFonts w:ascii="Times New Roman" w:hAnsi="Times New Roman" w:cs="Times New Roman"/>
            <w:bCs/>
            <w:sz w:val="24"/>
            <w:szCs w:val="24"/>
            <w:lang w:val="en-US"/>
          </w:rPr>
          <w:t xml:space="preserve">marsu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</w:rPr>
          <w:t xml:space="preserve">-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  <w:lang w:val="en-US"/>
          </w:rPr>
          <w:t xml:space="preserve">conference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</w:rPr>
          <w:t xml:space="preserve">-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  <w:lang w:val="en-US"/>
          </w:rPr>
          <w:t xml:space="preserve">ienif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</w:rPr>
          <w:t xml:space="preserve">@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  <w:lang w:val="en-US"/>
          </w:rPr>
          <w:t xml:space="preserve">mail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</w:rPr>
          <w:t xml:space="preserve">.</w:t>
        </w:r>
        <w:r>
          <w:rPr>
            <w:rStyle w:val="623"/>
            <w:rFonts w:ascii="Times New Roman" w:hAnsi="Times New Roman" w:cs="Times New Roman"/>
            <w:bCs/>
            <w:sz w:val="24"/>
            <w:szCs w:val="24"/>
            <w:lang w:val="en-US"/>
          </w:rPr>
          <w:t xml:space="preserve">ru</w:t>
        </w:r>
      </w:hyperlink>
      <w:r/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ru-RU"/>
        </w:rPr>
        <w:t xml:space="preserve">В теме письма просим обязательно указывать номер секции</w:t>
      </w:r>
      <w:r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ru-RU"/>
        </w:rPr>
        <w:t xml:space="preserve"> и ее название</w:t>
      </w:r>
      <w:r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файла </w:t>
      </w:r>
      <w:r>
        <w:rPr>
          <w:rFonts w:ascii="Times New Roman" w:hAnsi="Times New Roman" w:cs="Times New Roman"/>
          <w:sz w:val="24"/>
          <w:szCs w:val="24"/>
        </w:rPr>
        <w:t xml:space="preserve">должно содержать информацию о номере секции, фамилии и инициала</w:t>
      </w:r>
      <w:r>
        <w:rPr>
          <w:rFonts w:ascii="Times New Roman" w:hAnsi="Times New Roman" w:cs="Times New Roman"/>
          <w:sz w:val="24"/>
          <w:szCs w:val="24"/>
        </w:rPr>
        <w:t xml:space="preserve">х докладчика, например: 1ИвановАА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docx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Оргкомитет оставляет за собой право не принимать к публикации материалы, не соответствующие выше указанным требованиям.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</w:r>
      <w:r>
        <w:rPr>
          <w:rFonts w:ascii="Times New Roman" w:hAnsi="Times New Roman" w:cs="Times New Roman"/>
          <w:b/>
          <w:i/>
          <w:sz w:val="24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</w:r>
      <w:r>
        <w:rPr>
          <w:rFonts w:ascii="Times New Roman" w:hAnsi="Times New Roman" w:cs="Times New Roman"/>
          <w:b/>
          <w:i/>
          <w:sz w:val="24"/>
          <w:szCs w:val="20"/>
        </w:rPr>
      </w:r>
    </w:p>
    <w:p>
      <w:pPr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br w:type="page" w:clear="all"/>
      </w:r>
      <w:r>
        <w:rPr>
          <w:rFonts w:ascii="Times New Roman" w:hAnsi="Times New Roman" w:cs="Times New Roman"/>
          <w:b/>
          <w:i/>
          <w:sz w:val="24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0"/>
        </w:rPr>
        <w:t xml:space="preserve">Пример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0"/>
        </w:rPr>
        <w:t xml:space="preserve">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0"/>
        </w:rPr>
        <w:t xml:space="preserve"> оформления материалов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</w:pP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Изменчивость показателей стабильности развития клопа-солдатика 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bCs/>
          <w:i/>
          <w:iCs/>
          <w:color w:val="0f273d"/>
          <w:sz w:val="21"/>
          <w:szCs w:val="20"/>
          <w:shd w:val="clear" w:color="auto" w:fill="ffffff"/>
          <w:lang w:eastAsia="ru-RU"/>
        </w:rPr>
      </w:pP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в разных условиях обитания</w:t>
      </w:r>
      <w:r>
        <w:rPr>
          <w:rFonts w:ascii="Cambria" w:hAnsi="Cambria" w:eastAsia="Times New Roman" w:cs="Times New Roman"/>
          <w:b/>
          <w:bCs/>
          <w:i/>
          <w:iCs/>
          <w:color w:val="0f273d"/>
          <w:sz w:val="21"/>
          <w:szCs w:val="20"/>
          <w:shd w:val="clear" w:color="auto" w:fill="ffffff"/>
          <w:lang w:eastAsia="ru-RU"/>
        </w:rPr>
      </w:r>
    </w:p>
    <w:p>
      <w:pPr>
        <w:jc w:val="center"/>
        <w:spacing w:before="160" w:after="80" w:line="288" w:lineRule="auto"/>
        <w:rPr>
          <w:rFonts w:ascii="Cambria" w:hAnsi="Cambria" w:eastAsia="Times New Roman" w:cs="Times New Roman"/>
          <w:i/>
          <w:color w:val="0f273d"/>
          <w:sz w:val="20"/>
          <w:szCs w:val="20"/>
          <w:shd w:val="clear" w:color="auto" w:fill="ffffff"/>
          <w:lang w:eastAsia="ru-RU"/>
        </w:rPr>
      </w:pP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shd w:val="clear" w:color="auto" w:fill="ffffff"/>
          <w:lang w:eastAsia="ru-RU"/>
        </w:rPr>
        <w:t xml:space="preserve">Кириллова Д. А.</w:t>
      </w:r>
      <w:r>
        <w:rPr>
          <w:rFonts w:ascii="Cambria" w:hAnsi="Cambria" w:eastAsia="Times New Roman" w:cs="Times New Roman"/>
          <w:i/>
          <w:color w:val="0f273d"/>
          <w:sz w:val="20"/>
          <w:szCs w:val="20"/>
          <w:shd w:val="clear" w:color="auto" w:fill="ffffff"/>
          <w:lang w:eastAsia="ru-RU"/>
        </w:rPr>
        <w:t xml:space="preserve">, студ. 4 курса</w:t>
      </w:r>
      <w:r>
        <w:rPr>
          <w:rFonts w:ascii="Cambria" w:hAnsi="Cambria" w:eastAsia="Times New Roman" w:cs="Times New Roman"/>
          <w:i/>
          <w:color w:val="0f273d"/>
          <w:sz w:val="20"/>
          <w:szCs w:val="20"/>
          <w:shd w:val="clear" w:color="auto" w:fill="ffffff"/>
          <w:lang w:eastAsia="ru-RU"/>
        </w:rPr>
        <w:br/>
        <w:t xml:space="preserve">Науч. рук. —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shd w:val="clear" w:color="auto" w:fill="ffffff"/>
          <w:lang w:eastAsia="ru-RU"/>
        </w:rPr>
        <w:t xml:space="preserve">Турмухаметова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shd w:val="clear" w:color="auto" w:fill="ffffff"/>
          <w:lang w:eastAsia="ru-RU"/>
        </w:rPr>
        <w:t xml:space="preserve"> Н. В.</w:t>
      </w:r>
      <w:r>
        <w:rPr>
          <w:rFonts w:ascii="Cambria" w:hAnsi="Cambria" w:eastAsia="Times New Roman" w:cs="Times New Roman"/>
          <w:i/>
          <w:color w:val="0f273d"/>
          <w:sz w:val="20"/>
          <w:szCs w:val="20"/>
          <w:shd w:val="clear" w:color="auto" w:fill="ffffff"/>
          <w:lang w:eastAsia="ru-RU"/>
        </w:rPr>
        <w:t xml:space="preserve">, канд. биол. наук, доц.</w:t>
      </w:r>
      <w:r>
        <w:rPr>
          <w:rFonts w:ascii="Cambria" w:hAnsi="Cambria" w:eastAsia="Times New Roman" w:cs="Times New Roman"/>
          <w:i/>
          <w:color w:val="0f273d"/>
          <w:sz w:val="20"/>
          <w:szCs w:val="20"/>
          <w:shd w:val="clear" w:color="auto" w:fill="ffffff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</w:pPr>
      <w:r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  <w:t xml:space="preserve">Марийский государственный университет, г. Йошкар-Ола</w:t>
      </w:r>
      <w:r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SimSun" w:cs="Times New Roman"/>
          <w:b/>
          <w:i/>
          <w:iCs/>
          <w:color w:val="0f273d"/>
          <w:sz w:val="17"/>
          <w:szCs w:val="17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  <w:lang w:eastAsia="ru-RU"/>
        </w:rPr>
        <w:t xml:space="preserve">ventur1a@internet.ru</w:t>
      </w:r>
      <w:r>
        <w:rPr>
          <w:rFonts w:ascii="Cambria" w:hAnsi="Cambria" w:eastAsia="SimSun" w:cs="Times New Roman"/>
          <w:b/>
          <w:i/>
          <w:iCs/>
          <w:color w:val="0f273d"/>
          <w:sz w:val="17"/>
          <w:szCs w:val="17"/>
          <w:shd w:val="clear" w:color="auto" w:fill="ffffff"/>
          <w:lang w:eastAsia="zh-CN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SimSun" w:cs="Times New Roman"/>
          <w:i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i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i/>
          <w:sz w:val="24"/>
          <w:szCs w:val="24"/>
          <w:lang w:eastAsia="zh-CN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Текст, текст, текст …</w:t>
      </w:r>
      <w:r>
        <w:rPr>
          <w:rFonts w:ascii="Times New Roman" w:hAnsi="Times New Roman" w:eastAsia="SimSun" w:cs="Times New Roman"/>
          <w:iCs/>
          <w:sz w:val="21"/>
          <w:szCs w:val="21"/>
          <w:lang w:eastAsia="zh-CN"/>
        </w:rPr>
        <w:t xml:space="preserve">.</w:t>
      </w:r>
      <w:r>
        <w:rPr>
          <w:rFonts w:ascii="Times New Roman" w:hAnsi="Times New Roman" w:cs="Times New Roman"/>
          <w:b/>
          <w:bCs/>
          <w:sz w:val="21"/>
          <w:szCs w:val="21"/>
        </w:rPr>
      </w:r>
    </w:p>
    <w:p>
      <w:pPr>
        <w:jc w:val="center"/>
        <w:spacing w:line="240" w:lineRule="auto"/>
        <w:shd w:val="clear" w:color="auto" w:fill="ffffff"/>
        <w:rPr>
          <w:color w:val="000000"/>
          <w:sz w:val="21"/>
          <w:szCs w:val="21"/>
        </w:rPr>
      </w:pPr>
      <w:r>
        <w:rPr>
          <w:rFonts w:ascii="Calibri" w:hAnsi="Calibri"/>
          <w:sz w:val="28"/>
          <w:szCs w:val="28"/>
          <w:lang w:eastAsia="ru-RU"/>
        </w:rPr>
        <w:drawing>
          <wp:inline distT="0" distB="0" distL="0" distR="0">
            <wp:extent cx="4070350" cy="2543175"/>
            <wp:effectExtent l="0" t="0" r="63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color w:val="000000"/>
          <w:sz w:val="21"/>
          <w:szCs w:val="21"/>
        </w:rPr>
      </w:r>
    </w:p>
    <w:p>
      <w:pPr>
        <w:pStyle w:val="631"/>
        <w:rPr>
          <w:rFonts w:eastAsia="Calibri"/>
          <w:color w:val="000000"/>
        </w:rPr>
      </w:pPr>
      <w:r>
        <w:rPr>
          <w:rFonts w:eastAsia="Calibri"/>
        </w:rPr>
        <w:t xml:space="preserve">Рис. 1. </w:t>
      </w:r>
      <w:r>
        <w:rPr>
          <w:rFonts w:eastAsia="Calibri"/>
        </w:rPr>
        <w:t xml:space="preserve">Встречаемость морфы </w:t>
      </w:r>
      <w:r>
        <w:rPr>
          <w:rFonts w:eastAsia="Calibri"/>
        </w:rPr>
        <w:t xml:space="preserve">П</w:t>
      </w:r>
      <w:r>
        <w:rPr>
          <w:rFonts w:eastAsia="Calibri"/>
        </w:rPr>
        <w:t xml:space="preserve"> рисунка покровов </w:t>
      </w:r>
      <w:r>
        <w:rPr>
          <w:rFonts w:eastAsia="Calibri"/>
          <w:i/>
          <w:iCs/>
        </w:rPr>
        <w:t xml:space="preserve">P. </w:t>
      </w:r>
      <w:r>
        <w:rPr>
          <w:rFonts w:eastAsia="Calibri"/>
          <w:i/>
          <w:iCs/>
        </w:rPr>
        <w:t xml:space="preserve">apterus</w:t>
      </w:r>
      <w:r>
        <w:rPr>
          <w:rFonts w:eastAsia="Calibri"/>
          <w:i/>
          <w:iCs/>
        </w:rPr>
        <w:t xml:space="preserve"> </w:t>
      </w:r>
      <w:r>
        <w:rPr>
          <w:rFonts w:eastAsia="Calibri"/>
        </w:rPr>
        <w:t xml:space="preserve">в различных местообитаниях</w:t>
      </w:r>
      <w:r>
        <w:rPr>
          <w:rFonts w:eastAsia="Calibri"/>
          <w:color w:val="0000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 xml:space="preserve">Работа выполнена при финансовой поддержке … </w:t>
      </w:r>
      <w:r>
        <w:rPr>
          <w:rFonts w:ascii="Times New Roman" w:hAnsi="Times New Roman" w:cs="Times New Roman"/>
          <w:i/>
          <w:sz w:val="19"/>
          <w:szCs w:val="19"/>
        </w:rPr>
        <w:t xml:space="preserve">(</w:t>
      </w:r>
      <w:r>
        <w:rPr>
          <w:rFonts w:ascii="Times New Roman" w:hAnsi="Times New Roman" w:cs="Times New Roman"/>
          <w:i/>
          <w:sz w:val="19"/>
          <w:szCs w:val="19"/>
        </w:rPr>
        <w:t xml:space="preserve">проект</w:t>
      </w:r>
      <w:r>
        <w:rPr>
          <w:rFonts w:ascii="Times New Roman" w:hAnsi="Times New Roman" w:cs="Times New Roman"/>
          <w:i/>
          <w:sz w:val="19"/>
          <w:szCs w:val="19"/>
        </w:rPr>
        <w:t xml:space="preserve"> №…).</w:t>
      </w:r>
      <w:r>
        <w:rPr>
          <w:rFonts w:ascii="Times New Roman" w:hAnsi="Times New Roman" w:cs="Times New Roman"/>
          <w:sz w:val="19"/>
          <w:szCs w:val="19"/>
        </w:rPr>
      </w:r>
    </w:p>
    <w:p>
      <w:pPr>
        <w:jc w:val="center"/>
        <w:keepNext/>
        <w:spacing w:before="160" w:after="120" w:line="240" w:lineRule="auto"/>
        <w:rPr>
          <w:rFonts w:ascii="Cambria" w:hAnsi="Cambria" w:eastAsia="Calibri" w:cs="Times New Roman"/>
          <w:b/>
          <w:smallCaps/>
          <w:color w:val="0f273d"/>
          <w:sz w:val="17"/>
          <w:szCs w:val="16"/>
          <w:lang w:eastAsia="ru-RU"/>
        </w:rPr>
      </w:pPr>
      <w:r>
        <w:rPr>
          <w:rFonts w:ascii="Cambria" w:hAnsi="Cambria" w:eastAsia="Calibri" w:cs="Times New Roman"/>
          <w:b/>
          <w:smallCaps/>
          <w:color w:val="0f273d"/>
          <w:sz w:val="17"/>
          <w:szCs w:val="16"/>
          <w:lang w:eastAsia="ru-RU"/>
        </w:rPr>
        <w:t xml:space="preserve">Литература</w:t>
      </w:r>
      <w:r>
        <w:rPr>
          <w:rFonts w:ascii="Cambria" w:hAnsi="Cambria" w:eastAsia="Calibri" w:cs="Times New Roman"/>
          <w:b/>
          <w:smallCaps/>
          <w:color w:val="0f273d"/>
          <w:sz w:val="17"/>
          <w:szCs w:val="16"/>
          <w:lang w:eastAsia="ru-RU"/>
        </w:rPr>
      </w:r>
    </w:p>
    <w:p>
      <w:pPr>
        <w:ind w:firstLine="369"/>
        <w:jc w:val="both"/>
        <w:spacing w:after="0" w:line="250" w:lineRule="auto"/>
        <w:rPr>
          <w:rFonts w:ascii="Times New Roman" w:hAnsi="Times New Roman" w:eastAsia="Times New Roman" w:cs="Times New Roman"/>
          <w:sz w:val="17"/>
          <w:szCs w:val="17"/>
          <w:lang w:eastAsia="ru-RU"/>
        </w:rPr>
      </w:pPr>
      <w:r>
        <w:rPr>
          <w:rFonts w:ascii="Times New Roman" w:hAnsi="Times New Roman" w:eastAsia="Times New Roman" w:cs="Times New Roman"/>
          <w:sz w:val="17"/>
          <w:szCs w:val="17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pacing w:val="-2"/>
          <w:sz w:val="17"/>
          <w:szCs w:val="17"/>
          <w:lang w:eastAsia="ru-RU"/>
        </w:rPr>
        <w:t xml:space="preserve">Экологическая доктрина Российской Федерации (одобрена распоряжением Правительства РФ от 31 августа 2002 г. № 1225-р) </w:t>
      </w:r>
      <w:r>
        <w:rPr>
          <w:rFonts w:ascii="Times New Roman" w:hAnsi="Times New Roman" w:eastAsia="Times New Roman" w:cs="Times New Roman"/>
          <w:sz w:val="17"/>
          <w:szCs w:val="17"/>
          <w:lang w:eastAsia="ru-RU"/>
        </w:rPr>
        <w:t xml:space="preserve">// Электронный фонд правовых и </w:t>
      </w:r>
      <w:r>
        <w:rPr>
          <w:rFonts w:ascii="Times New Roman" w:hAnsi="Times New Roman" w:eastAsia="Times New Roman" w:cs="Times New Roman"/>
          <w:sz w:val="17"/>
          <w:szCs w:val="17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17"/>
          <w:szCs w:val="17"/>
          <w:lang w:eastAsia="ru-RU"/>
        </w:rPr>
        <w:t xml:space="preserve">ормативно-технических документов: [сайт]. 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URL</w:t>
      </w:r>
      <w:r>
        <w:rPr>
          <w:rFonts w:ascii="Times New Roman" w:hAnsi="Times New Roman" w:eastAsia="Times New Roman" w:cs="Times New Roman"/>
          <w:sz w:val="17"/>
          <w:szCs w:val="17"/>
          <w:lang w:eastAsia="ru-RU"/>
        </w:rPr>
        <w:t xml:space="preserve">: https://docs.cntd.ru/document/901826347.</w:t>
      </w:r>
      <w:r>
        <w:rPr>
          <w:rFonts w:ascii="Times New Roman" w:hAnsi="Times New Roman" w:eastAsia="Times New Roman" w:cs="Times New Roman"/>
          <w:sz w:val="17"/>
          <w:szCs w:val="17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bCs/>
          <w:caps/>
          <w:color w:val="0f273d"/>
          <w:sz w:val="21"/>
          <w:szCs w:val="20"/>
          <w:lang w:eastAsia="ru-RU"/>
        </w:rPr>
      </w:pPr>
      <w:r>
        <w:rPr>
          <w:rFonts w:ascii="Cambria" w:hAnsi="Cambria" w:eastAsia="Times New Roman" w:cs="Times New Roman"/>
          <w:b/>
          <w:bCs/>
          <w:caps/>
          <w:color w:val="0f273d"/>
          <w:sz w:val="21"/>
          <w:szCs w:val="20"/>
          <w:lang w:eastAsia="ru-RU"/>
        </w:rPr>
      </w:r>
      <w:r>
        <w:rPr>
          <w:rFonts w:ascii="Cambria" w:hAnsi="Cambria" w:eastAsia="Times New Roman" w:cs="Times New Roman"/>
          <w:b/>
          <w:bCs/>
          <w:caps/>
          <w:color w:val="0f273d"/>
          <w:sz w:val="21"/>
          <w:szCs w:val="20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bCs/>
          <w:caps/>
          <w:color w:val="0f273d"/>
          <w:sz w:val="21"/>
          <w:szCs w:val="20"/>
          <w:lang w:eastAsia="ru-RU"/>
        </w:rPr>
      </w:pPr>
      <w:r>
        <w:rPr>
          <w:rFonts w:ascii="Cambria" w:hAnsi="Cambria" w:eastAsia="Times New Roman" w:cs="Times New Roman"/>
          <w:b/>
          <w:bCs/>
          <w:caps/>
          <w:color w:val="0f273d"/>
          <w:sz w:val="21"/>
          <w:szCs w:val="20"/>
          <w:lang w:eastAsia="ru-RU"/>
        </w:rPr>
        <w:t xml:space="preserve">В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лияние перспективного 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митокана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 на основе 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трифенилфосфония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 и 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бетулиновой</w:t>
      </w:r>
      <w:r>
        <w:rPr>
          <w:rFonts w:ascii="Cambria" w:hAnsi="Cambria" w:eastAsia="Times New Roman" w:cs="Times New Roman"/>
          <w:b/>
          <w:bCs/>
          <w:color w:val="0f273d"/>
          <w:sz w:val="21"/>
          <w:szCs w:val="20"/>
          <w:lang w:eastAsia="ru-RU"/>
        </w:rPr>
        <w:t xml:space="preserve"> кислоты на функционирование митохондрий печени крыс</w:t>
      </w:r>
      <w:r>
        <w:rPr>
          <w:rFonts w:ascii="Cambria" w:hAnsi="Cambria" w:eastAsia="Times New Roman" w:cs="Times New Roman"/>
          <w:b/>
          <w:bCs/>
          <w:caps/>
          <w:color w:val="0f273d"/>
          <w:sz w:val="21"/>
          <w:szCs w:val="20"/>
          <w:lang w:eastAsia="ru-RU"/>
        </w:rPr>
      </w:r>
    </w:p>
    <w:p>
      <w:pPr>
        <w:jc w:val="center"/>
        <w:spacing w:before="160" w:after="80" w:line="288" w:lineRule="auto"/>
        <w:rPr>
          <w:rFonts w:ascii="Cambria" w:hAnsi="Cambria" w:eastAsia="Times New Roman" w:cs="Times New Roman"/>
          <w:b/>
          <w:i/>
          <w:color w:val="0f273d"/>
          <w:sz w:val="20"/>
          <w:szCs w:val="20"/>
          <w:lang w:eastAsia="ru-RU"/>
        </w:rPr>
      </w:pP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lang w:eastAsia="ru-RU"/>
        </w:rPr>
        <w:t xml:space="preserve">Шарапов В. А.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vertAlign w:val="superscript"/>
          <w:lang w:eastAsia="ru-RU"/>
        </w:rPr>
        <w:t xml:space="preserve">1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lang w:eastAsia="ru-RU"/>
        </w:rPr>
        <w:t xml:space="preserve">, Дубинин М. В.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vertAlign w:val="superscript"/>
          <w:lang w:eastAsia="ru-RU"/>
        </w:rPr>
        <w:t xml:space="preserve">1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lang w:eastAsia="ru-RU"/>
        </w:rPr>
        <w:t xml:space="preserve">, Семенова А. А.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vertAlign w:val="superscript"/>
          <w:lang w:eastAsia="ru-RU"/>
        </w:rPr>
        <w:t xml:space="preserve">1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lang w:eastAsia="ru-RU"/>
        </w:rPr>
        <w:t xml:space="preserve">, Недопекина Д. А.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vertAlign w:val="superscript"/>
          <w:lang w:eastAsia="ru-RU"/>
        </w:rPr>
        <w:t xml:space="preserve">2</w:t>
      </w:r>
      <w:r>
        <w:rPr>
          <w:rFonts w:ascii="Cambria" w:hAnsi="Cambria" w:eastAsia="Times New Roman" w:cs="Times New Roman"/>
          <w:b/>
          <w:i/>
          <w:color w:val="0f273d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</w:pPr>
      <w:r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  <w:t xml:space="preserve">1 — Марийский государственный университет, г. Йошкар-Ола</w:t>
      </w:r>
      <w:r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</w:pPr>
      <w:r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  <w:t xml:space="preserve">2 — Институт нефтехимии и катализа РАН, г. Уфа</w:t>
      </w:r>
      <w:r>
        <w:rPr>
          <w:rFonts w:ascii="Cambria" w:hAnsi="Cambria" w:eastAsia="Times New Roman" w:cs="Times New Roman"/>
          <w:b/>
          <w:color w:val="0f273d"/>
          <w:sz w:val="17"/>
          <w:szCs w:val="17"/>
          <w:lang w:eastAsia="ru-RU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b/>
          <w:i/>
          <w:color w:val="0f273d"/>
          <w:sz w:val="17"/>
          <w:szCs w:val="17"/>
          <w:lang w:eastAsia="ru-RU"/>
        </w:rPr>
      </w:pPr>
      <w:r>
        <w:rPr>
          <w:rFonts w:ascii="Cambria" w:hAnsi="Cambria" w:eastAsia="Times New Roman" w:cs="Times New Roman"/>
          <w:b/>
          <w:i/>
          <w:color w:val="0f273d"/>
          <w:sz w:val="17"/>
          <w:szCs w:val="17"/>
          <w:lang w:eastAsia="ru-RU"/>
        </w:rPr>
        <w:t xml:space="preserve">dubinin1989@gmail.com</w:t>
      </w:r>
      <w:r>
        <w:rPr>
          <w:rFonts w:ascii="Cambria" w:hAnsi="Cambria" w:eastAsia="Times New Roman" w:cs="Times New Roman"/>
          <w:b/>
          <w:i/>
          <w:color w:val="0f273d"/>
          <w:sz w:val="17"/>
          <w:szCs w:val="17"/>
          <w:lang w:eastAsia="ru-RU"/>
        </w:rPr>
      </w:r>
    </w:p>
    <w:p>
      <w:pPr>
        <w:ind w:firstLine="426"/>
        <w:jc w:val="both"/>
        <w:spacing w:before="240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Текст, текст, текст …</w:t>
      </w:r>
      <w:r>
        <w:rPr>
          <w:rFonts w:ascii="Times New Roman" w:hAnsi="Times New Roman" w:eastAsia="SimSun" w:cs="Times New Roman"/>
          <w:iCs/>
          <w:sz w:val="21"/>
          <w:szCs w:val="21"/>
          <w:lang w:eastAsia="zh-CN"/>
        </w:rPr>
        <w:t xml:space="preserve">.</w:t>
      </w:r>
      <w:r>
        <w:rPr>
          <w:rFonts w:ascii="Times New Roman" w:hAnsi="Times New Roman" w:cs="Times New Roman"/>
          <w:b/>
          <w:bCs/>
          <w:sz w:val="21"/>
          <w:szCs w:val="21"/>
        </w:rPr>
      </w:r>
    </w:p>
    <w:p>
      <w:pPr>
        <w:pStyle w:val="628"/>
        <w:rPr>
          <w:lang w:bidi="en-US"/>
        </w:rPr>
      </w:pPr>
      <w:r>
        <w:rPr>
          <w:lang w:bidi="en-US"/>
        </w:rPr>
        <w:t xml:space="preserve">Таблица 1</w:t>
      </w:r>
      <w:r>
        <w:rPr>
          <w:lang w:bidi="en-US"/>
        </w:rPr>
      </w:r>
    </w:p>
    <w:p>
      <w:pPr>
        <w:pStyle w:val="627"/>
        <w:rPr>
          <w:lang w:bidi="en-US"/>
        </w:rPr>
      </w:pPr>
      <w:r>
        <w:rPr>
          <w:lang w:bidi="en-US"/>
        </w:rPr>
        <w:t xml:space="preserve">Влияние </w:t>
      </w:r>
      <w:r>
        <w:rPr>
          <w:lang w:bidi="en-US"/>
        </w:rPr>
        <w:t xml:space="preserve">конъюгата</w:t>
      </w:r>
      <w:r>
        <w:rPr>
          <w:lang w:bidi="en-US"/>
        </w:rPr>
        <w:t xml:space="preserve"> на </w:t>
      </w:r>
      <w:r>
        <w:rPr>
          <w:lang w:bidi="en-US"/>
        </w:rPr>
        <w:t xml:space="preserve">глутамат</w:t>
      </w:r>
      <w:r>
        <w:rPr>
          <w:lang w:bidi="en-US"/>
        </w:rPr>
        <w:t xml:space="preserve">/</w:t>
      </w:r>
      <w:r>
        <w:rPr>
          <w:lang w:bidi="en-US"/>
        </w:rPr>
        <w:t xml:space="preserve">малат</w:t>
      </w:r>
      <w:r>
        <w:rPr>
          <w:lang w:bidi="en-US"/>
        </w:rPr>
        <w:t xml:space="preserve">-зависимое дыхание митохондрий печени</w:t>
      </w:r>
      <w:r>
        <w:rPr>
          <w:lang w:bidi="en-US"/>
        </w:rPr>
      </w: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14"/>
        <w:gridCol w:w="1623"/>
        <w:gridCol w:w="1594"/>
        <w:gridCol w:w="1383"/>
        <w:gridCol w:w="1656"/>
        <w:gridCol w:w="1569"/>
      </w:tblGrid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</w:tcBorders>
            <w:tcW w:w="1814" w:type="dxa"/>
            <w:vAlign w:val="center"/>
            <w:vMerge w:val="restart"/>
            <w:textDirection w:val="lrTb"/>
            <w:noWrap w:val="false"/>
          </w:tcPr>
          <w:p>
            <w:pPr>
              <w:pStyle w:val="626"/>
            </w:pPr>
            <w:r>
              <w:t xml:space="preserve">Добавки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623" w:type="dxa"/>
            <w:vAlign w:val="center"/>
            <w:textDirection w:val="lrTb"/>
            <w:noWrap w:val="false"/>
          </w:tcPr>
          <w:p>
            <w:pPr>
              <w:pStyle w:val="626"/>
            </w:pPr>
            <w:r>
              <w:t xml:space="preserve">Состояние 2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pStyle w:val="626"/>
            </w:pPr>
            <w:r>
              <w:t xml:space="preserve">Состояние 3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626"/>
            </w:pPr>
            <w:r>
              <w:t xml:space="preserve">Состояние 4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626"/>
            </w:pPr>
            <w:r>
              <w:t xml:space="preserve">Состояние 3U</w:t>
            </w:r>
            <w:r>
              <w:rPr>
                <w:vertAlign w:val="subscript"/>
              </w:rPr>
              <w:t xml:space="preserve">ДНФ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right w:val="single" w:color="auto" w:sz="8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Style w:val="626"/>
            </w:pPr>
            <w:r>
              <w:t xml:space="preserve">Дыхательный контроль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left w:val="single" w:color="auto" w:sz="8" w:space="0"/>
              <w:bottom w:val="single" w:color="auto" w:sz="8" w:space="0"/>
            </w:tcBorders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pStyle w:val="626"/>
            </w:pPr>
            <w:r/>
            <w:r/>
          </w:p>
        </w:tc>
        <w:tc>
          <w:tcPr>
            <w:gridSpan w:val="4"/>
            <w:shd w:val="clear" w:color="auto" w:fill="auto"/>
            <w:tcBorders>
              <w:bottom w:val="single" w:color="auto" w:sz="8" w:space="0"/>
            </w:tcBorders>
            <w:tcW w:w="6256" w:type="dxa"/>
            <w:vAlign w:val="center"/>
            <w:textDirection w:val="lrTb"/>
            <w:noWrap w:val="false"/>
          </w:tcPr>
          <w:p>
            <w:pPr>
              <w:pStyle w:val="626"/>
            </w:pPr>
            <w:r>
              <w:t xml:space="preserve">нмоль</w:t>
            </w:r>
            <w:r>
              <w:t xml:space="preserve"> O</w:t>
            </w:r>
            <w:r>
              <w:rPr>
                <w:vertAlign w:val="subscript"/>
              </w:rPr>
              <w:t xml:space="preserve">2</w:t>
            </w:r>
            <w:r>
              <w:rPr>
                <w:vertAlign w:val="subscript"/>
              </w:rPr>
              <w:t xml:space="preserve"> </w:t>
            </w:r>
            <w:r>
              <w:t xml:space="preserve">/</w:t>
            </w:r>
            <w:r>
              <w:t xml:space="preserve"> </w:t>
            </w:r>
            <w:r>
              <w:t xml:space="preserve">мин</w:t>
            </w:r>
            <w:r>
              <w:t xml:space="preserve"> </w:t>
            </w:r>
            <w:r>
              <w:t xml:space="preserve">/</w:t>
            </w:r>
            <w:r>
              <w:t xml:space="preserve"> </w:t>
            </w:r>
            <w:r>
              <w:t xml:space="preserve">мг</w:t>
            </w:r>
            <w:r>
              <w:t xml:space="preserve"> </w:t>
            </w:r>
            <w:r>
              <w:t xml:space="preserve">белка</w:t>
            </w:r>
            <w:r/>
          </w:p>
        </w:tc>
        <w:tc>
          <w:tcPr>
            <w:shd w:val="clear" w:color="auto" w:fill="auto"/>
            <w:tcBorders>
              <w:bottom w:val="single" w:color="auto" w:sz="8" w:space="0"/>
              <w:right w:val="single" w:color="auto" w:sz="8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Style w:val="626"/>
            </w:pPr>
            <w:r>
              <w:t xml:space="preserve">отн</w:t>
            </w:r>
            <w:r>
              <w:t xml:space="preserve">. ед.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pStyle w:val="626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Контроль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623" w:type="dxa"/>
            <w:vAlign w:val="center"/>
            <w:textDirection w:val="lrTb"/>
            <w:noWrap w:val="false"/>
          </w:tcPr>
          <w:p>
            <w:pPr>
              <w:pStyle w:val="626"/>
              <w:rPr>
                <w:rFonts w:eastAsia="Calibri"/>
              </w:rPr>
            </w:pPr>
            <w:r>
              <w:t xml:space="preserve">2,78 ± </w:t>
            </w:r>
            <w:r>
              <w:rPr>
                <w:lang w:bidi="en-US"/>
              </w:rPr>
              <w:t xml:space="preserve">0,12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pStyle w:val="626"/>
              <w:rPr>
                <w:rFonts w:eastAsia="Calibri"/>
              </w:rPr>
            </w:pPr>
            <w:r>
              <w:t xml:space="preserve">22,13 ± </w:t>
            </w:r>
            <w:r>
              <w:rPr>
                <w:lang w:bidi="en-US"/>
              </w:rPr>
              <w:t xml:space="preserve">0,38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626"/>
              <w:rPr>
                <w:rFonts w:eastAsia="Calibri"/>
              </w:rPr>
            </w:pPr>
            <w:r>
              <w:t xml:space="preserve">2,71 ± </w:t>
            </w:r>
            <w:r>
              <w:rPr>
                <w:lang w:bidi="en-US"/>
              </w:rPr>
              <w:t xml:space="preserve">0,06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626"/>
              <w:rPr>
                <w:rFonts w:eastAsia="Calibri"/>
              </w:rPr>
            </w:pPr>
            <w:r>
              <w:t xml:space="preserve">23,53 ± </w:t>
            </w:r>
            <w:r>
              <w:rPr>
                <w:lang w:bidi="en-US"/>
              </w:rPr>
              <w:t xml:space="preserve">0,74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Style w:val="626"/>
              <w:rPr>
                <w:rFonts w:eastAsia="Calibri"/>
              </w:rPr>
            </w:pPr>
            <w:r>
              <w:t xml:space="preserve">8,17 ± </w:t>
            </w:r>
            <w:r>
              <w:rPr>
                <w:lang w:bidi="en-US"/>
              </w:rPr>
              <w:t xml:space="preserve">0,14</w:t>
            </w:r>
            <w:r>
              <w:rPr>
                <w:rFonts w:eastAsia="Calibri"/>
              </w:rPr>
            </w:r>
          </w:p>
        </w:tc>
      </w:tr>
    </w:tbl>
    <w:p>
      <w:pPr>
        <w:pStyle w:val="632"/>
        <w:rPr>
          <w:lang w:bidi="en-US"/>
        </w:rPr>
      </w:pPr>
      <w:r>
        <w:rPr>
          <w:i/>
        </w:rPr>
        <w:t xml:space="preserve">Примечание:</w:t>
      </w:r>
      <w:r>
        <w:t xml:space="preserve"> </w:t>
      </w:r>
      <w:r>
        <w:rPr>
          <w:lang w:bidi="en-US"/>
        </w:rPr>
        <w:t xml:space="preserve">митохондрии </w:t>
      </w:r>
      <w:r>
        <w:rPr>
          <w:lang w:bidi="en-US"/>
        </w:rPr>
        <w:t xml:space="preserve">энергизованы</w:t>
      </w:r>
      <w:r>
        <w:rPr>
          <w:lang w:bidi="en-US"/>
        </w:rPr>
        <w:t xml:space="preserve"> 2,5</w:t>
      </w:r>
      <w:r>
        <w:rPr>
          <w:lang w:bidi="en-US"/>
        </w:rPr>
        <w:t xml:space="preserve"> </w:t>
      </w:r>
      <w:r>
        <w:rPr>
          <w:lang w:bidi="en-US"/>
        </w:rPr>
        <w:t xml:space="preserve">мМ</w:t>
      </w:r>
      <w:r>
        <w:rPr>
          <w:lang w:bidi="en-US"/>
        </w:rPr>
        <w:t xml:space="preserve"> </w:t>
      </w:r>
      <w:r>
        <w:rPr>
          <w:lang w:bidi="en-US"/>
        </w:rPr>
        <w:t xml:space="preserve">глутаматом</w:t>
      </w:r>
      <w:r>
        <w:rPr>
          <w:lang w:bidi="en-US"/>
        </w:rPr>
        <w:t xml:space="preserve"> и 2,5</w:t>
      </w:r>
      <w:r>
        <w:rPr>
          <w:lang w:bidi="en-US"/>
        </w:rPr>
        <w:t xml:space="preserve"> </w:t>
      </w:r>
      <w:r>
        <w:rPr>
          <w:lang w:bidi="en-US"/>
        </w:rPr>
        <w:t xml:space="preserve">мМ</w:t>
      </w:r>
      <w:r>
        <w:rPr>
          <w:lang w:bidi="en-US"/>
        </w:rPr>
        <w:t xml:space="preserve"> </w:t>
      </w:r>
      <w:r>
        <w:rPr>
          <w:lang w:bidi="en-US"/>
        </w:rPr>
        <w:t xml:space="preserve">малатом</w:t>
      </w:r>
      <w:r>
        <w:rPr>
          <w:lang w:bidi="en-US"/>
        </w:rPr>
        <w:t xml:space="preserve">. Результаты представлены в виде средних значений ± стандартная ошибка среднего (</w:t>
      </w:r>
      <w:r>
        <w:rPr>
          <w:i/>
          <w:lang w:bidi="en-US"/>
        </w:rPr>
        <w:t xml:space="preserve">n</w:t>
      </w:r>
      <w:r>
        <w:rPr>
          <w:i/>
          <w:lang w:bidi="en-US"/>
        </w:rPr>
        <w:t xml:space="preserve"> </w:t>
      </w:r>
      <w:r>
        <w:rPr>
          <w:lang w:bidi="en-US"/>
        </w:rPr>
        <w:t xml:space="preserve">=</w:t>
      </w:r>
      <w:r>
        <w:rPr>
          <w:lang w:bidi="en-US"/>
        </w:rPr>
        <w:t xml:space="preserve"> </w:t>
      </w:r>
      <w:r>
        <w:rPr>
          <w:lang w:bidi="en-US"/>
        </w:rPr>
        <w:t xml:space="preserve">3). * </w:t>
      </w:r>
      <w:r>
        <w:rPr>
          <w:i/>
          <w:lang w:bidi="en-US"/>
        </w:rPr>
        <w:t xml:space="preserve">р</w:t>
      </w:r>
      <w:r>
        <w:rPr>
          <w:lang w:bidi="en-US"/>
        </w:rPr>
        <w:t xml:space="preserve"> </w:t>
      </w:r>
      <w:r>
        <w:rPr>
          <w:lang w:bidi="en-US"/>
        </w:rPr>
        <w:t xml:space="preserve">&lt;</w:t>
      </w:r>
      <w:r>
        <w:rPr>
          <w:lang w:bidi="en-US"/>
        </w:rPr>
        <w:t xml:space="preserve"> </w:t>
      </w:r>
      <w:r>
        <w:rPr>
          <w:lang w:bidi="en-US"/>
        </w:rPr>
        <w:t xml:space="preserve">0,05 (по сравнению с контролем).</w:t>
      </w:r>
      <w:r>
        <w:rPr>
          <w:lang w:bidi="en-US"/>
        </w:rPr>
      </w:r>
    </w:p>
    <w:p>
      <w:pPr>
        <w:jc w:val="center"/>
        <w:keepNext/>
        <w:spacing w:before="160" w:after="120" w:line="240" w:lineRule="auto"/>
        <w:rPr>
          <w:rFonts w:ascii="Cambria" w:hAnsi="Cambria" w:eastAsia="Calibri" w:cs="Times New Roman"/>
          <w:b/>
          <w:smallCaps/>
          <w:color w:val="0f273d"/>
          <w:sz w:val="17"/>
          <w:szCs w:val="16"/>
          <w:lang w:val="en-US" w:eastAsia="ru-RU"/>
        </w:rPr>
      </w:pPr>
      <w:r>
        <w:rPr>
          <w:rFonts w:ascii="Cambria" w:hAnsi="Cambria" w:eastAsia="Calibri" w:cs="Times New Roman"/>
          <w:b/>
          <w:smallCaps/>
          <w:color w:val="0f273d"/>
          <w:sz w:val="17"/>
          <w:szCs w:val="16"/>
          <w:lang w:eastAsia="ru-RU"/>
        </w:rPr>
        <w:t xml:space="preserve">Литература</w:t>
      </w:r>
      <w:r>
        <w:rPr>
          <w:rFonts w:ascii="Cambria" w:hAnsi="Cambria" w:eastAsia="Calibri" w:cs="Times New Roman"/>
          <w:b/>
          <w:smallCaps/>
          <w:color w:val="0f273d"/>
          <w:sz w:val="17"/>
          <w:szCs w:val="16"/>
          <w:lang w:val="en-US" w:eastAsia="ru-RU"/>
        </w:rPr>
      </w:r>
    </w:p>
    <w:p>
      <w:pPr>
        <w:ind w:firstLine="426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17"/>
          <w:szCs w:val="17"/>
          <w:u w:val="single"/>
        </w:rPr>
      </w:pP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1. 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Papa S., 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Lorusso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 M., Di Paola M. Cooperativity and flexibility of the 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protonmotive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 activity of mitochondrial respiratory chain // 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Biochim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Biophys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Acta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17"/>
          <w:szCs w:val="17"/>
          <w:lang w:val="en-US" w:eastAsia="ru-RU"/>
        </w:rPr>
        <w:t xml:space="preserve"> 2006. Vol. 1757. P. 428–436.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17"/>
          <w:szCs w:val="17"/>
          <w:u w:val="single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mbria">
    <w:panose1 w:val="02040803050406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563c1" w:themeColor="hyperlink"/>
      <w:u w:val="single"/>
    </w:rPr>
  </w:style>
  <w:style w:type="paragraph" w:styleId="624">
    <w:name w:val="List Paragraph"/>
    <w:basedOn w:val="619"/>
    <w:uiPriority w:val="34"/>
    <w:qFormat/>
    <w:pPr>
      <w:contextualSpacing/>
      <w:ind w:left="720"/>
    </w:pPr>
  </w:style>
  <w:style w:type="table" w:styleId="625">
    <w:name w:val="Table Grid"/>
    <w:basedOn w:val="621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 w:customStyle="1">
    <w:name w:val="Табл"/>
    <w:basedOn w:val="619"/>
    <w:qFormat/>
    <w:pPr>
      <w:jc w:val="center"/>
      <w:spacing w:before="40" w:after="40" w:line="240" w:lineRule="auto"/>
    </w:pPr>
    <w:rPr>
      <w:rFonts w:ascii="Times New Roman CYR" w:hAnsi="Times New Roman CYR" w:eastAsia="Times New Roman" w:cs="Times New Roman"/>
      <w:sz w:val="17"/>
      <w:szCs w:val="17"/>
      <w:lang w:eastAsia="ru-RU"/>
    </w:rPr>
  </w:style>
  <w:style w:type="paragraph" w:styleId="627" w:customStyle="1">
    <w:name w:val="Табл заг"/>
    <w:basedOn w:val="619"/>
    <w:qFormat/>
    <w:pPr>
      <w:jc w:val="center"/>
      <w:spacing w:after="120" w:line="240" w:lineRule="auto"/>
    </w:pPr>
    <w:rPr>
      <w:rFonts w:ascii="Times New Roman" w:hAnsi="Times New Roman" w:eastAsia="Times New Roman" w:cs="Times New Roman"/>
      <w:b/>
      <w:sz w:val="17"/>
      <w:szCs w:val="17"/>
      <w:lang w:eastAsia="ru-RU"/>
    </w:rPr>
  </w:style>
  <w:style w:type="paragraph" w:styleId="628" w:customStyle="1">
    <w:name w:val="Табл номер"/>
    <w:basedOn w:val="619"/>
    <w:qFormat/>
    <w:pPr>
      <w:ind w:firstLine="357"/>
      <w:jc w:val="right"/>
      <w:spacing w:after="60" w:line="240" w:lineRule="auto"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paragraph" w:styleId="629">
    <w:name w:val="Balloon Text"/>
    <w:basedOn w:val="619"/>
    <w:link w:val="6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20"/>
    <w:link w:val="629"/>
    <w:uiPriority w:val="99"/>
    <w:semiHidden/>
    <w:rPr>
      <w:rFonts w:ascii="Tahoma" w:hAnsi="Tahoma" w:cs="Tahoma"/>
      <w:sz w:val="16"/>
      <w:szCs w:val="16"/>
    </w:rPr>
  </w:style>
  <w:style w:type="paragraph" w:styleId="631" w:customStyle="1">
    <w:name w:val="Рис."/>
    <w:basedOn w:val="619"/>
    <w:pPr>
      <w:jc w:val="center"/>
      <w:spacing w:before="160" w:after="360" w:line="240" w:lineRule="auto"/>
    </w:pPr>
    <w:rPr>
      <w:rFonts w:ascii="Times New Roman" w:hAnsi="Times New Roman" w:eastAsia="Times New Roman" w:cs="Times New Roman"/>
      <w:sz w:val="17"/>
      <w:szCs w:val="20"/>
      <w:lang w:eastAsia="ru-RU"/>
    </w:rPr>
  </w:style>
  <w:style w:type="paragraph" w:styleId="632" w:customStyle="1">
    <w:name w:val="Примечание"/>
    <w:basedOn w:val="619"/>
    <w:qFormat/>
    <w:pPr>
      <w:ind w:firstLine="369"/>
      <w:jc w:val="both"/>
      <w:spacing w:before="120" w:after="240" w:line="240" w:lineRule="auto"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character" w:styleId="633">
    <w:name w:val="annotation reference"/>
    <w:basedOn w:val="620"/>
    <w:uiPriority w:val="99"/>
    <w:semiHidden/>
    <w:unhideWhenUsed/>
    <w:rPr>
      <w:sz w:val="16"/>
      <w:szCs w:val="16"/>
    </w:rPr>
  </w:style>
  <w:style w:type="paragraph" w:styleId="634">
    <w:name w:val="annotation text"/>
    <w:basedOn w:val="619"/>
    <w:link w:val="63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35" w:customStyle="1">
    <w:name w:val="Текст примечания Знак"/>
    <w:basedOn w:val="620"/>
    <w:link w:val="634"/>
    <w:uiPriority w:val="99"/>
    <w:semiHidden/>
    <w:rPr>
      <w:sz w:val="20"/>
      <w:szCs w:val="20"/>
    </w:rPr>
  </w:style>
  <w:style w:type="paragraph" w:styleId="636">
    <w:name w:val="annotation subject"/>
    <w:basedOn w:val="634"/>
    <w:next w:val="634"/>
    <w:link w:val="637"/>
    <w:uiPriority w:val="99"/>
    <w:semiHidden/>
    <w:unhideWhenUsed/>
    <w:rPr>
      <w:b/>
      <w:bCs/>
    </w:rPr>
  </w:style>
  <w:style w:type="character" w:styleId="637" w:customStyle="1">
    <w:name w:val="Тема примечания Знак"/>
    <w:basedOn w:val="635"/>
    <w:link w:val="63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mailto:marsu-conference-ienif@mail.ru" TargetMode="External"/><Relationship Id="rId12" Type="http://schemas.openxmlformats.org/officeDocument/2006/relationships/chart" Target="charts/chart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866"/>
          <c:y val="0.108595"/>
          <c:w val="0.636189"/>
          <c:h val="0.718227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 xml:space="preserve">'Морфа П 2021'!$C$1</c:f>
              <c:strCache>
                <c:ptCount val="1"/>
                <c:pt idx="0">
                  <c:v>П2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2021'!$C$2:$C$6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8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 xml:space="preserve">'Морфа П 2021'!$D$1</c:f>
              <c:strCache>
                <c:ptCount val="1"/>
                <c:pt idx="0">
                  <c:v>П3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2021'!$D$2:$D$6</c:f>
              <c:numCache>
                <c:formatCode>General</c:formatCode>
                <c:ptCount val="5"/>
                <c:pt idx="0">
                  <c:v>9</c:v>
                </c:pt>
                <c:pt idx="1">
                  <c:v>4</c:v>
                </c:pt>
                <c:pt idx="2">
                  <c:v>7</c:v>
                </c:pt>
                <c:pt idx="3">
                  <c:v>16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 xml:space="preserve">'Морфа П 2021'!$E$1</c:f>
              <c:strCache>
                <c:ptCount val="1"/>
                <c:pt idx="0">
                  <c:v>П4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2021'!$E$2:$E$6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 xml:space="preserve">'Морфа П 2021'!$F$1</c:f>
              <c:strCache>
                <c:ptCount val="1"/>
                <c:pt idx="0">
                  <c:v xml:space="preserve">П5 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2021'!$F$2:$F$6</c:f>
              <c:numCache>
                <c:formatCode>General</c:formatCode>
                <c:ptCount val="5"/>
                <c:pt idx="0">
                  <c:v>23</c:v>
                </c:pt>
                <c:pt idx="1">
                  <c:v>22</c:v>
                </c:pt>
                <c:pt idx="2">
                  <c:v>19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ser>
          <c:idx val="4"/>
          <c:order val="4"/>
          <c:tx>
            <c:strRef>
              <c:f xml:space="preserve">'Морфа П 2021'!$G$1</c:f>
              <c:strCache>
                <c:ptCount val="1"/>
                <c:pt idx="0">
                  <c:v>П6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2021'!$G$2:$G$6</c:f>
              <c:numCache>
                <c:formatCode>General</c:formatCode>
                <c:ptCount val="5"/>
                <c:pt idx="0">
                  <c:v>14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ser>
          <c:idx val="5"/>
          <c:order val="5"/>
          <c:tx>
            <c:strRef>
              <c:f xml:space="preserve">'Морфа П 2021'!$H$1</c:f>
              <c:strCache>
                <c:ptCount val="1"/>
                <c:pt idx="0">
                  <c:v>П7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2021'!$H$2:$H$6</c:f>
              <c:numCache>
                <c:formatCode>General</c:formatCode>
                <c:ptCount val="5"/>
                <c:pt idx="0">
                  <c:v>6</c:v>
                </c:pt>
                <c:pt idx="1">
                  <c:v>19</c:v>
                </c:pt>
                <c:pt idx="2">
                  <c:v>22</c:v>
                </c:pt>
                <c:pt idx="3">
                  <c:v>2</c:v>
                </c:pt>
                <c:pt idx="4">
                  <c:v>9</c:v>
                </c:pt>
              </c:numCache>
            </c:numRef>
          </c:val>
        </c:ser>
        <c:ser>
          <c:idx val="6"/>
          <c:order val="6"/>
          <c:tx>
            <c:strRef>
              <c:f xml:space="preserve">'Морфа П 2021'!$I$1</c:f>
              <c:strCache>
                <c:ptCount val="1"/>
                <c:pt idx="0">
                  <c:v>П9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2021'!$I$2:$I$6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7"/>
          <c:order val="7"/>
          <c:tx>
            <c:strRef>
              <c:f xml:space="preserve">'Морфа П 2021'!$J$1</c:f>
              <c:strCache>
                <c:ptCount val="1"/>
                <c:pt idx="0">
                  <c:v>П11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2021'!$J$2:$J$6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16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8"/>
          <c:order val="8"/>
          <c:tx>
            <c:strRef>
              <c:f xml:space="preserve">'Морфа П 2021'!$K$1</c:f>
              <c:strCache>
                <c:ptCount val="1"/>
                <c:pt idx="0">
                  <c:v>П12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2021'!$K$2:$K$6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ser>
          <c:idx val="9"/>
          <c:order val="9"/>
          <c:tx>
            <c:strRef>
              <c:f xml:space="preserve">'Морфа П 2021'!$L$1</c:f>
              <c:strCache>
                <c:ptCount val="1"/>
                <c:pt idx="0">
                  <c:v>П13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2021'!$L$2:$L$6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5</c:v>
                </c:pt>
                <c:pt idx="3">
                  <c:v>25</c:v>
                </c:pt>
                <c:pt idx="4">
                  <c:v>16</c:v>
                </c:pt>
              </c:numCache>
            </c:numRef>
          </c:val>
        </c:ser>
        <c:ser>
          <c:idx val="10"/>
          <c:order val="10"/>
          <c:tx>
            <c:strRef>
              <c:f xml:space="preserve">'Морфа П 2021'!$M$1</c:f>
              <c:strCache>
                <c:ptCount val="1"/>
                <c:pt idx="0">
                  <c:v>П14</c:v>
                </c:pt>
              </c:strCache>
            </c:strRef>
          </c:tx>
          <c:invertIfNegative val="0"/>
          <c:cat>
            <c:numRef>
              <c:f xml:space="preserve">'Морфа П 2021'!$B$2:$B$6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 xml:space="preserve">'Морфа П 2021'!$M$2:$M$6</c:f>
              <c:numCache>
                <c:formatCode>General</c:formatCode>
                <c:ptCount val="5"/>
                <c:pt idx="0">
                  <c:v>44</c:v>
                </c:pt>
                <c:pt idx="1">
                  <c:v>43</c:v>
                </c:pt>
                <c:pt idx="2">
                  <c:v>58</c:v>
                </c:pt>
                <c:pt idx="3">
                  <c:v>0</c:v>
                </c:pt>
                <c:pt idx="4">
                  <c:v>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75"/>
        <c:gapDepth val="75"/>
        <c:shape val="box"/>
        <c:axId val="148497536"/>
        <c:axId val="148499456"/>
      </c:bar3DChart>
      <c:catAx>
        <c:axId val="148497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ru-RU" sz="900"/>
                  <a:t>Местообитание</a:t>
                </a:r>
                <a:endParaRPr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8499456"/>
        <c:crosses val="autoZero"/>
        <c:auto val="1"/>
        <c:lblAlgn val="ctr"/>
        <c:lblOffset val="100"/>
        <c:noMultiLvlLbl val="0"/>
      </c:catAx>
      <c:valAx>
        <c:axId val="148499456"/>
        <c:scaling>
          <c:orientation val="minMax"/>
        </c:scaling>
        <c:delete val="0"/>
        <c:axPos val="l"/>
        <c:majorGridlines>
          <c:spPr bwMode="auto"/>
        </c:majorGridlines>
        <c:minorGridlines>
          <c:spPr bwMode="auto"/>
        </c:minorGridlines>
        <c:title>
          <c:tx>
            <c:rich>
              <a:bodyPr/>
              <a:lstStyle/>
              <a:p>
                <a:pPr>
                  <a:defRPr sz="900"/>
                </a:pPr>
                <a:r>
                  <a:rPr lang="ru-RU" sz="900"/>
                  <a:t>Частота встречаемости морфы П</a:t>
                </a:r>
                <a:endParaRPr/>
              </a:p>
            </c:rich>
          </c:tx>
          <c:layout>
            <c:manualLayout>
              <c:xMode val="edge"/>
              <c:yMode val="edge"/>
              <c:x val="0.088767"/>
              <c:y val="0.164009"/>
            </c:manualLayout>
          </c:layout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849753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ln>
      <a:noFill/>
    </a:ln>
  </c:spPr>
  <c:txPr>
    <a:bodyPr/>
    <a:lstStyle/>
    <a:p>
      <a:pPr>
        <a:defRPr b="0"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Дубинин</dc:creator>
  <cp:lastModifiedBy>Елена Александровна Пузаткина</cp:lastModifiedBy>
  <cp:revision>7</cp:revision>
  <dcterms:created xsi:type="dcterms:W3CDTF">2025-03-11T08:32:00Z</dcterms:created>
  <dcterms:modified xsi:type="dcterms:W3CDTF">2025-04-01T08:18:24Z</dcterms:modified>
</cp:coreProperties>
</file>